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ADD03" w14:textId="77777777" w:rsidR="003902E6" w:rsidRDefault="00527187" w:rsidP="00681037">
      <w:pPr>
        <w:pStyle w:val="Heading4"/>
      </w:pPr>
      <w:r>
        <w:t>National Archives and Records Administration</w:t>
      </w:r>
    </w:p>
    <w:p w14:paraId="2F9DBB9E" w14:textId="77777777" w:rsidR="00681037" w:rsidRDefault="00681037" w:rsidP="00681037">
      <w:pPr>
        <w:pStyle w:val="Title"/>
      </w:pPr>
    </w:p>
    <w:p w14:paraId="51337C15" w14:textId="16ECD978" w:rsidR="00527187" w:rsidRDefault="00527187" w:rsidP="00681037">
      <w:pPr>
        <w:pStyle w:val="Title"/>
      </w:pPr>
      <w:r>
        <w:t xml:space="preserve">Federal Records Management Level 1:  </w:t>
      </w:r>
      <w:r w:rsidR="0077556B">
        <w:t>Disposition</w:t>
      </w:r>
    </w:p>
    <w:p w14:paraId="3F2C09BF" w14:textId="77777777" w:rsidR="00527187" w:rsidRDefault="00527187" w:rsidP="00681037">
      <w:pPr>
        <w:pStyle w:val="Title"/>
      </w:pPr>
      <w:r>
        <w:t>Participant Guide</w:t>
      </w:r>
    </w:p>
    <w:p w14:paraId="177EAF3E" w14:textId="7655F0C5" w:rsidR="00271E88" w:rsidRPr="008B0B15" w:rsidRDefault="0028432C" w:rsidP="00271E88">
      <w:pPr>
        <w:rPr>
          <w:sz w:val="28"/>
          <w:szCs w:val="28"/>
        </w:rPr>
        <w:sectPr w:rsidR="00271E88" w:rsidRPr="008B0B1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8B0B15">
        <w:rPr>
          <w:sz w:val="28"/>
          <w:szCs w:val="28"/>
        </w:rPr>
        <w:t xml:space="preserve">Module </w:t>
      </w:r>
      <w:r w:rsidR="0077556B">
        <w:rPr>
          <w:sz w:val="28"/>
          <w:szCs w:val="28"/>
        </w:rPr>
        <w:t>7</w:t>
      </w:r>
      <w:r w:rsidRPr="008B0B15">
        <w:rPr>
          <w:sz w:val="28"/>
          <w:szCs w:val="28"/>
        </w:rPr>
        <w:t xml:space="preserve"> – </w:t>
      </w:r>
      <w:r w:rsidR="0077556B">
        <w:rPr>
          <w:sz w:val="28"/>
          <w:szCs w:val="28"/>
        </w:rPr>
        <w:t>Safeguard</w:t>
      </w:r>
      <w:r w:rsidR="00B4330A">
        <w:rPr>
          <w:sz w:val="28"/>
          <w:szCs w:val="28"/>
        </w:rPr>
        <w:t>ing</w:t>
      </w:r>
      <w:bookmarkStart w:id="0" w:name="_GoBack"/>
      <w:bookmarkEnd w:id="0"/>
      <w:r w:rsidR="0077556B">
        <w:rPr>
          <w:sz w:val="28"/>
          <w:szCs w:val="28"/>
        </w:rPr>
        <w:t xml:space="preserve"> Frozen Records</w:t>
      </w:r>
    </w:p>
    <w:sdt>
      <w:sdtPr>
        <w:rPr>
          <w:b w:val="0"/>
          <w:color w:val="auto"/>
          <w:spacing w:val="0"/>
          <w:sz w:val="24"/>
          <w:szCs w:val="20"/>
        </w:rPr>
        <w:id w:val="-815797845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215A29B" w14:textId="77777777" w:rsidR="00883083" w:rsidRDefault="00883083">
          <w:pPr>
            <w:pStyle w:val="TOCHeading"/>
          </w:pPr>
          <w:r>
            <w:t>Table of Contents</w:t>
          </w:r>
        </w:p>
        <w:p w14:paraId="0D10FCA7" w14:textId="1E84A821" w:rsidR="00274F14" w:rsidRDefault="00883083">
          <w:pPr>
            <w:pStyle w:val="TOC1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237574" w:history="1">
            <w:r w:rsidR="00274F14" w:rsidRPr="001241C8">
              <w:rPr>
                <w:rStyle w:val="Hyperlink"/>
                <w:noProof/>
              </w:rPr>
              <w:t>Module 7:  Safeguarding Frozen Records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_Toc16237574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3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5FB93C40" w14:textId="4412C6DC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75" w:history="1">
            <w:r w:rsidR="00274F14" w:rsidRPr="001241C8">
              <w:rPr>
                <w:rStyle w:val="Hyperlink"/>
                <w:noProof/>
              </w:rPr>
              <w:t>Module 7 Checklist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_Toc16237575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3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60495C2F" w14:textId="633651A6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76" w:history="1">
            <w:r w:rsidR="00274F14" w:rsidRPr="001241C8">
              <w:rPr>
                <w:rStyle w:val="Hyperlink"/>
                <w:noProof/>
              </w:rPr>
              <w:t>What you’ll learn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_Toc16237576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3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7962575B" w14:textId="633883F1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77" w:history="1">
            <w:r w:rsidR="00274F14" w:rsidRPr="001241C8">
              <w:rPr>
                <w:rStyle w:val="Hyperlink"/>
                <w:noProof/>
              </w:rPr>
              <w:t>Why are freezes important?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_Toc16237577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3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4CBE278F" w14:textId="06B28A06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78" w:history="1">
            <w:r w:rsidR="00274F14" w:rsidRPr="001241C8">
              <w:rPr>
                <w:rStyle w:val="Hyperlink"/>
                <w:noProof/>
              </w:rPr>
              <w:t>Frozen Records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_Toc16237578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4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36006933" w14:textId="059727DF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79" w:history="1">
            <w:r w:rsidR="00274F14" w:rsidRPr="001241C8">
              <w:rPr>
                <w:rStyle w:val="Hyperlink"/>
                <w:noProof/>
              </w:rPr>
              <w:t>Typical Freeze Process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_Toc16237579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4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48D0919C" w14:textId="3730CA19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80" w:history="1">
            <w:r w:rsidR="00274F14" w:rsidRPr="001241C8">
              <w:rPr>
                <w:rStyle w:val="Hyperlink"/>
                <w:noProof/>
              </w:rPr>
              <w:t>Events and Circumstances Triggering a Freeze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_Toc16237580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4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046EDD79" w14:textId="47AFFDC4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81" w:history="1">
            <w:r w:rsidR="00274F14" w:rsidRPr="001241C8">
              <w:rPr>
                <w:rStyle w:val="Hyperlink"/>
                <w:noProof/>
              </w:rPr>
              <w:t>Reflection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_Toc16237581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5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2C332F98" w14:textId="16D807F6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82" w:history="1">
            <w:r w:rsidR="00274F14" w:rsidRPr="001241C8">
              <w:rPr>
                <w:rStyle w:val="Hyperlink"/>
                <w:noProof/>
              </w:rPr>
              <w:t>Scope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_Toc16237582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5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42B59C61" w14:textId="2642C1E8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83" w:history="1">
            <w:r w:rsidR="00274F14" w:rsidRPr="001241C8">
              <w:rPr>
                <w:rStyle w:val="Hyperlink"/>
                <w:noProof/>
              </w:rPr>
              <w:t>Identifying Who, What, Where, and How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_Toc16237583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5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4C3D1DFD" w14:textId="7B5223B7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84" w:history="1">
            <w:r w:rsidR="00274F14" w:rsidRPr="001241C8">
              <w:rPr>
                <w:rStyle w:val="Hyperlink"/>
                <w:noProof/>
              </w:rPr>
              <w:t>Documenting Your Search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_Toc16237584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5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5FB44A33" w14:textId="4B44B9CE" w:rsidR="00274F14" w:rsidRDefault="000C470D">
          <w:pPr>
            <w:pStyle w:val="TOC2"/>
            <w:tabs>
              <w:tab w:val="right" w:leader="dot" w:pos="9350"/>
            </w:tabs>
            <w:rPr>
              <w:rFonts w:asciiTheme="minorHAnsi" w:hAnsiTheme="minorHAnsi"/>
              <w:noProof/>
              <w:sz w:val="22"/>
              <w:szCs w:val="22"/>
            </w:rPr>
          </w:pPr>
          <w:hyperlink w:anchor="_Toc16237585" w:history="1">
            <w:r w:rsidR="00274F14" w:rsidRPr="001241C8">
              <w:rPr>
                <w:rStyle w:val="Hyperlink"/>
                <w:noProof/>
              </w:rPr>
              <w:t>Responding to a Freeze – Notes</w:t>
            </w:r>
            <w:r w:rsidR="00274F14">
              <w:rPr>
                <w:noProof/>
                <w:webHidden/>
              </w:rPr>
              <w:tab/>
            </w:r>
            <w:r w:rsidR="00274F14">
              <w:rPr>
                <w:noProof/>
                <w:webHidden/>
              </w:rPr>
              <w:fldChar w:fldCharType="begin"/>
            </w:r>
            <w:r w:rsidR="00274F14">
              <w:rPr>
                <w:noProof/>
                <w:webHidden/>
              </w:rPr>
              <w:instrText xml:space="preserve"> PAGEREF _Toc16237585 \h </w:instrText>
            </w:r>
            <w:r w:rsidR="00274F14">
              <w:rPr>
                <w:noProof/>
                <w:webHidden/>
              </w:rPr>
            </w:r>
            <w:r w:rsidR="00274F14">
              <w:rPr>
                <w:noProof/>
                <w:webHidden/>
              </w:rPr>
              <w:fldChar w:fldCharType="separate"/>
            </w:r>
            <w:r w:rsidR="00274F14">
              <w:rPr>
                <w:noProof/>
                <w:webHidden/>
              </w:rPr>
              <w:t>6</w:t>
            </w:r>
            <w:r w:rsidR="00274F14">
              <w:rPr>
                <w:noProof/>
                <w:webHidden/>
              </w:rPr>
              <w:fldChar w:fldCharType="end"/>
            </w:r>
          </w:hyperlink>
        </w:p>
        <w:p w14:paraId="72449EC2" w14:textId="75D87BC4" w:rsidR="00883083" w:rsidRDefault="00883083">
          <w:r>
            <w:rPr>
              <w:b/>
              <w:bCs/>
              <w:noProof/>
            </w:rPr>
            <w:fldChar w:fldCharType="end"/>
          </w:r>
        </w:p>
      </w:sdtContent>
    </w:sdt>
    <w:p w14:paraId="4D8B5ED4" w14:textId="77777777" w:rsidR="004E50DC" w:rsidRPr="00271E88" w:rsidRDefault="004E50DC" w:rsidP="00271E88"/>
    <w:p w14:paraId="76C1C9A6" w14:textId="77777777" w:rsidR="00527187" w:rsidRDefault="00527187" w:rsidP="00527187"/>
    <w:p w14:paraId="0361CEF5" w14:textId="77777777" w:rsidR="00527187" w:rsidRDefault="00527187" w:rsidP="00527187">
      <w:pPr>
        <w:sectPr w:rsidR="0052718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4D44F9" w14:textId="1A6CE730" w:rsidR="00557882" w:rsidRDefault="00557882" w:rsidP="00557882">
      <w:pPr>
        <w:pStyle w:val="Heading1"/>
      </w:pPr>
      <w:bookmarkStart w:id="1" w:name="_Toc522793317"/>
      <w:bookmarkStart w:id="2" w:name="_Toc16237574"/>
      <w:r>
        <w:lastRenderedPageBreak/>
        <w:t xml:space="preserve">Module </w:t>
      </w:r>
      <w:r w:rsidR="0077556B">
        <w:t>7</w:t>
      </w:r>
      <w:r>
        <w:t xml:space="preserve">:  </w:t>
      </w:r>
      <w:bookmarkEnd w:id="1"/>
      <w:r w:rsidR="0077556B">
        <w:t>Safeguarding Frozen Records</w:t>
      </w:r>
      <w:bookmarkEnd w:id="2"/>
    </w:p>
    <w:p w14:paraId="615BF898" w14:textId="34867DBD" w:rsidR="00557882" w:rsidRDefault="00557882" w:rsidP="00527187"/>
    <w:p w14:paraId="269287A4" w14:textId="53A9D4C5" w:rsidR="00AE4D50" w:rsidRDefault="00AE4D50" w:rsidP="00AE4D50">
      <w:pPr>
        <w:pStyle w:val="Heading2"/>
      </w:pPr>
      <w:bookmarkStart w:id="3" w:name="_Toc16237575"/>
      <w:r>
        <w:t xml:space="preserve">Module </w:t>
      </w:r>
      <w:r w:rsidR="0077556B">
        <w:t>7</w:t>
      </w:r>
      <w:r>
        <w:t xml:space="preserve"> Checklist</w:t>
      </w:r>
      <w:bookmarkEnd w:id="3"/>
    </w:p>
    <w:p w14:paraId="7C687241" w14:textId="35DB2565" w:rsidR="00AE4D50" w:rsidRDefault="009A360B" w:rsidP="00AE4D50">
      <w:pPr>
        <w:pStyle w:val="ListParagraph"/>
        <w:numPr>
          <w:ilvl w:val="0"/>
          <w:numId w:val="43"/>
        </w:numPr>
        <w:spacing w:after="360"/>
        <w:contextualSpacing w:val="0"/>
      </w:pPr>
      <w:r>
        <w:t>Complete th</w:t>
      </w:r>
      <w:r w:rsidR="000324E2">
        <w:t>is</w:t>
      </w:r>
      <w:r>
        <w:t xml:space="preserve"> </w:t>
      </w:r>
      <w:r w:rsidR="0077556B">
        <w:rPr>
          <w:i/>
          <w:iCs/>
        </w:rPr>
        <w:t>Safeguarding Frozen Records</w:t>
      </w:r>
      <w:r>
        <w:t xml:space="preserve"> module.</w:t>
      </w:r>
    </w:p>
    <w:p w14:paraId="33F449B5" w14:textId="228C1F74" w:rsidR="00AE4D50" w:rsidRDefault="0077556B" w:rsidP="00AE4D50">
      <w:pPr>
        <w:pStyle w:val="ListParagraph"/>
        <w:numPr>
          <w:ilvl w:val="0"/>
          <w:numId w:val="43"/>
        </w:numPr>
        <w:spacing w:after="360"/>
        <w:contextualSpacing w:val="0"/>
      </w:pPr>
      <w:r>
        <w:t>Locate your agency’s guidance regarding records freezes and holds</w:t>
      </w:r>
      <w:r w:rsidR="00AE4D50">
        <w:t>.</w:t>
      </w:r>
    </w:p>
    <w:p w14:paraId="4F79112A" w14:textId="77777777" w:rsidR="00AE4D50" w:rsidRDefault="00AE4D50" w:rsidP="00527187"/>
    <w:p w14:paraId="205CCDE4" w14:textId="20B7A8CF" w:rsidR="00557882" w:rsidRDefault="0077556B" w:rsidP="00557882">
      <w:pPr>
        <w:pStyle w:val="Heading2"/>
      </w:pPr>
      <w:bookmarkStart w:id="4" w:name="_Toc16237576"/>
      <w:r>
        <w:t>What you’ll learn</w:t>
      </w:r>
      <w:bookmarkEnd w:id="4"/>
    </w:p>
    <w:p w14:paraId="2353622C" w14:textId="429028D8" w:rsidR="00557882" w:rsidRDefault="0077556B" w:rsidP="00527187">
      <w:r>
        <w:t>In this module, we will:</w:t>
      </w:r>
    </w:p>
    <w:p w14:paraId="09974531" w14:textId="77777777" w:rsidR="0077556B" w:rsidRDefault="0077556B" w:rsidP="0077556B">
      <w:pPr>
        <w:pStyle w:val="ListParagraph"/>
        <w:numPr>
          <w:ilvl w:val="0"/>
          <w:numId w:val="36"/>
        </w:numPr>
      </w:pPr>
      <w:r>
        <w:t>Discuss the possible consequences of not safeguarding frozen records</w:t>
      </w:r>
    </w:p>
    <w:p w14:paraId="0B461324" w14:textId="77777777" w:rsidR="0077556B" w:rsidRDefault="0077556B" w:rsidP="0077556B">
      <w:pPr>
        <w:pStyle w:val="ListParagraph"/>
        <w:numPr>
          <w:ilvl w:val="0"/>
          <w:numId w:val="36"/>
        </w:numPr>
      </w:pPr>
      <w:r>
        <w:t>Learn how to identify materials under a litigation or other freeze</w:t>
      </w:r>
    </w:p>
    <w:p w14:paraId="1A58F13F" w14:textId="77777777" w:rsidR="0077556B" w:rsidRDefault="0077556B" w:rsidP="0077556B">
      <w:pPr>
        <w:pStyle w:val="ListParagraph"/>
        <w:numPr>
          <w:ilvl w:val="0"/>
          <w:numId w:val="36"/>
        </w:numPr>
      </w:pPr>
      <w:r>
        <w:t>Consider procedures to notify all appropriate personnel (on and off-site) about the freeze</w:t>
      </w:r>
    </w:p>
    <w:p w14:paraId="1E864D87" w14:textId="612BB4F5" w:rsidR="00557882" w:rsidRDefault="0077556B" w:rsidP="0077556B">
      <w:pPr>
        <w:pStyle w:val="ListParagraph"/>
        <w:numPr>
          <w:ilvl w:val="0"/>
          <w:numId w:val="36"/>
        </w:numPr>
      </w:pPr>
      <w:r>
        <w:t>Discuss procedures needed to notify all appropriate personnel about a lifting of the freeze</w:t>
      </w:r>
    </w:p>
    <w:p w14:paraId="102CC543" w14:textId="4769C5D6" w:rsidR="006B7713" w:rsidRDefault="006B7713"/>
    <w:p w14:paraId="20985ACE" w14:textId="2819C9C8" w:rsidR="006B7713" w:rsidRDefault="0077556B" w:rsidP="006B7713">
      <w:pPr>
        <w:pStyle w:val="Heading2"/>
      </w:pPr>
      <w:bookmarkStart w:id="5" w:name="_Toc16237577"/>
      <w:r>
        <w:t>Why are freezes important? – Notes</w:t>
      </w:r>
      <w:bookmarkEnd w:id="5"/>
      <w:r>
        <w:t xml:space="preserve"> </w:t>
      </w:r>
      <w:r w:rsidR="006B7713">
        <w:br w:type="page"/>
      </w:r>
    </w:p>
    <w:p w14:paraId="0FE064E9" w14:textId="77777777" w:rsidR="006B7713" w:rsidRDefault="006B7713" w:rsidP="006B7713">
      <w:pPr>
        <w:pStyle w:val="Heading2"/>
        <w:sectPr w:rsidR="006B7713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8BEA7B" w14:textId="6D85E4E2" w:rsidR="00557882" w:rsidRDefault="0077556B" w:rsidP="00574DE9">
      <w:pPr>
        <w:pStyle w:val="Heading2"/>
      </w:pPr>
      <w:bookmarkStart w:id="6" w:name="_Toc16237578"/>
      <w:r>
        <w:lastRenderedPageBreak/>
        <w:t>Frozen Records – Notes</w:t>
      </w:r>
      <w:bookmarkEnd w:id="6"/>
      <w:r>
        <w:t xml:space="preserve"> </w:t>
      </w:r>
    </w:p>
    <w:p w14:paraId="3549B358" w14:textId="0B863806" w:rsidR="006B7713" w:rsidRDefault="006B7713" w:rsidP="00BA167C">
      <w:pPr>
        <w:spacing w:after="1800"/>
      </w:pPr>
    </w:p>
    <w:p w14:paraId="10D93F43" w14:textId="2A9DB705" w:rsidR="00D44FDB" w:rsidRDefault="0077556B" w:rsidP="007410EA">
      <w:pPr>
        <w:pStyle w:val="Heading2"/>
      </w:pPr>
      <w:bookmarkStart w:id="7" w:name="_Toc16237579"/>
      <w:r>
        <w:t>Typical Freeze Process</w:t>
      </w:r>
      <w:bookmarkEnd w:id="7"/>
    </w:p>
    <w:p w14:paraId="2131E346" w14:textId="7299C1B0" w:rsidR="001F6663" w:rsidRDefault="0077556B" w:rsidP="0077556B">
      <w:pPr>
        <w:pStyle w:val="ListParagraph"/>
        <w:numPr>
          <w:ilvl w:val="0"/>
          <w:numId w:val="44"/>
        </w:numPr>
      </w:pPr>
      <w:r>
        <w:t>An event triggers the need for a freeze.</w:t>
      </w:r>
    </w:p>
    <w:p w14:paraId="1ED7C2B7" w14:textId="69955521" w:rsidR="0077556B" w:rsidRDefault="0077556B" w:rsidP="0077556B">
      <w:pPr>
        <w:pStyle w:val="ListParagraph"/>
        <w:numPr>
          <w:ilvl w:val="0"/>
          <w:numId w:val="44"/>
        </w:numPr>
      </w:pPr>
      <w:r>
        <w:t>Records management team works with agency counsel, audit team, or other relevant authority to define the freeze and issue a hold notice.</w:t>
      </w:r>
    </w:p>
    <w:p w14:paraId="20EFBF43" w14:textId="5D70C4BE" w:rsidR="0077556B" w:rsidRDefault="0077556B" w:rsidP="0077556B">
      <w:pPr>
        <w:pStyle w:val="ListParagraph"/>
        <w:numPr>
          <w:ilvl w:val="0"/>
          <w:numId w:val="44"/>
        </w:numPr>
      </w:pPr>
      <w:r>
        <w:t>Records custodians identify and safeguard relevant records, electronic data, and other materials.</w:t>
      </w:r>
    </w:p>
    <w:p w14:paraId="4A389540" w14:textId="73649640" w:rsidR="0077556B" w:rsidRDefault="0077556B" w:rsidP="0077556B">
      <w:pPr>
        <w:pStyle w:val="ListParagraph"/>
        <w:numPr>
          <w:ilvl w:val="0"/>
          <w:numId w:val="44"/>
        </w:numPr>
      </w:pPr>
      <w:r>
        <w:t>Record holders and the records management team monitor the status of the freeze.</w:t>
      </w:r>
    </w:p>
    <w:p w14:paraId="09617979" w14:textId="499513CD" w:rsidR="0077556B" w:rsidRDefault="0077556B" w:rsidP="0077556B">
      <w:pPr>
        <w:pStyle w:val="ListParagraph"/>
        <w:numPr>
          <w:ilvl w:val="0"/>
          <w:numId w:val="44"/>
        </w:numPr>
      </w:pPr>
      <w:r>
        <w:t>The authority who initiated the freeze lifts the freeze and notifies record holders.</w:t>
      </w:r>
    </w:p>
    <w:p w14:paraId="0E73E0A0" w14:textId="3444870D" w:rsidR="0077556B" w:rsidRDefault="0077556B" w:rsidP="00D44FDB"/>
    <w:p w14:paraId="4E84FCFE" w14:textId="670A3A0D" w:rsidR="0077556B" w:rsidRDefault="0077556B" w:rsidP="0077556B">
      <w:pPr>
        <w:pStyle w:val="Heading2"/>
      </w:pPr>
      <w:bookmarkStart w:id="8" w:name="_Toc16237580"/>
      <w:r>
        <w:t>Events and Circumstances Triggering a Freeze – Notes</w:t>
      </w:r>
      <w:bookmarkEnd w:id="8"/>
      <w:r>
        <w:t xml:space="preserve"> </w:t>
      </w:r>
    </w:p>
    <w:p w14:paraId="43FDBC83" w14:textId="42C9A1A2" w:rsidR="0077556B" w:rsidRDefault="0077556B" w:rsidP="0077556B">
      <w:pPr>
        <w:spacing w:after="1080"/>
      </w:pPr>
    </w:p>
    <w:p w14:paraId="4EBA6BD9" w14:textId="77777777" w:rsidR="00274F14" w:rsidRDefault="00274F14">
      <w:pPr>
        <w:rPr>
          <w:b/>
          <w:spacing w:val="15"/>
        </w:rPr>
      </w:pPr>
      <w:r>
        <w:br w:type="page"/>
      </w:r>
    </w:p>
    <w:p w14:paraId="11E8ABCE" w14:textId="5234CD72" w:rsidR="00D44FDB" w:rsidRDefault="00274F14" w:rsidP="00274F14">
      <w:pPr>
        <w:pStyle w:val="Heading2"/>
        <w:spacing w:before="1320"/>
      </w:pPr>
      <w:bookmarkStart w:id="9" w:name="_Toc16237581"/>
      <w:r>
        <w:lastRenderedPageBreak/>
        <w:t>Reflection</w:t>
      </w:r>
      <w:bookmarkEnd w:id="9"/>
    </w:p>
    <w:p w14:paraId="2613BA3B" w14:textId="191FFE6C" w:rsidR="007410EA" w:rsidRDefault="00274F14" w:rsidP="00274F14">
      <w:pPr>
        <w:spacing w:after="1680"/>
      </w:pPr>
      <w:r>
        <w:t>What records holds or freezes affect your agency?</w:t>
      </w:r>
    </w:p>
    <w:p w14:paraId="508CFC69" w14:textId="365291BB" w:rsidR="00274F14" w:rsidRDefault="00274F14" w:rsidP="00274F14">
      <w:pPr>
        <w:pStyle w:val="Heading2"/>
      </w:pPr>
      <w:bookmarkStart w:id="10" w:name="_Toc16237582"/>
      <w:r>
        <w:t>Scope – Notes</w:t>
      </w:r>
      <w:bookmarkEnd w:id="10"/>
      <w:r>
        <w:t xml:space="preserve"> </w:t>
      </w:r>
    </w:p>
    <w:p w14:paraId="4BBC2E92" w14:textId="77777777" w:rsidR="00274F14" w:rsidRDefault="00274F14" w:rsidP="00274F14">
      <w:pPr>
        <w:spacing w:after="1680"/>
      </w:pPr>
    </w:p>
    <w:p w14:paraId="0D537C7F" w14:textId="71C3D1A5" w:rsidR="00274F14" w:rsidRDefault="00274F14" w:rsidP="00274F14">
      <w:pPr>
        <w:pStyle w:val="Heading2"/>
        <w:spacing w:before="1320"/>
      </w:pPr>
      <w:bookmarkStart w:id="11" w:name="_Toc16237583"/>
      <w:r>
        <w:t>Identifying Who, What, Where, and How – Notes</w:t>
      </w:r>
      <w:bookmarkEnd w:id="11"/>
      <w:r>
        <w:t xml:space="preserve"> </w:t>
      </w:r>
    </w:p>
    <w:p w14:paraId="7B70257C" w14:textId="4509E743" w:rsidR="00274F14" w:rsidRDefault="00274F14" w:rsidP="00274F14">
      <w:pPr>
        <w:spacing w:after="1680"/>
      </w:pPr>
    </w:p>
    <w:p w14:paraId="24639F95" w14:textId="1F1FBCB9" w:rsidR="00274F14" w:rsidRDefault="00274F14" w:rsidP="00274F14">
      <w:pPr>
        <w:pStyle w:val="Heading2"/>
      </w:pPr>
      <w:bookmarkStart w:id="12" w:name="_Toc16237584"/>
      <w:r>
        <w:t>Documenting Your Search – Notes</w:t>
      </w:r>
      <w:bookmarkEnd w:id="12"/>
      <w:r>
        <w:t xml:space="preserve"> </w:t>
      </w:r>
    </w:p>
    <w:p w14:paraId="1CEDD373" w14:textId="77777777" w:rsidR="00274F14" w:rsidRDefault="00274F14" w:rsidP="00274F14">
      <w:pPr>
        <w:spacing w:after="1680"/>
      </w:pPr>
    </w:p>
    <w:p w14:paraId="3DDCC1CD" w14:textId="77777777" w:rsidR="00274F14" w:rsidRDefault="00274F14">
      <w:pPr>
        <w:rPr>
          <w:b/>
          <w:spacing w:val="15"/>
        </w:rPr>
      </w:pPr>
      <w:r>
        <w:br w:type="page"/>
      </w:r>
    </w:p>
    <w:p w14:paraId="6AD59EB8" w14:textId="03D92E95" w:rsidR="00274F14" w:rsidRDefault="00274F14" w:rsidP="00274F14">
      <w:pPr>
        <w:pStyle w:val="Heading2"/>
        <w:spacing w:before="1320"/>
      </w:pPr>
      <w:bookmarkStart w:id="13" w:name="_Toc16237585"/>
      <w:r>
        <w:lastRenderedPageBreak/>
        <w:t>Responding to a Freeze – Notes</w:t>
      </w:r>
      <w:bookmarkEnd w:id="13"/>
      <w:r>
        <w:t xml:space="preserve"> </w:t>
      </w:r>
    </w:p>
    <w:p w14:paraId="2D05B547" w14:textId="77777777" w:rsidR="00274F14" w:rsidRDefault="00274F14" w:rsidP="00D44FDB"/>
    <w:sectPr w:rsidR="00274F14" w:rsidSect="00D879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8A512C" w14:textId="77777777" w:rsidR="000C470D" w:rsidRDefault="000C470D" w:rsidP="00890601">
      <w:pPr>
        <w:spacing w:before="0" w:after="0" w:line="240" w:lineRule="auto"/>
      </w:pPr>
      <w:r>
        <w:separator/>
      </w:r>
    </w:p>
  </w:endnote>
  <w:endnote w:type="continuationSeparator" w:id="0">
    <w:p w14:paraId="319D2B04" w14:textId="77777777" w:rsidR="000C470D" w:rsidRDefault="000C470D" w:rsidP="0089060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412633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A5E41" w14:textId="1E820404" w:rsidR="009D68B7" w:rsidRDefault="009D68B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167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79ECC36" w14:textId="77777777" w:rsidR="009D68B7" w:rsidRDefault="009D68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5E9F8" w14:textId="77777777" w:rsidR="000C470D" w:rsidRDefault="000C470D" w:rsidP="00890601">
      <w:pPr>
        <w:spacing w:before="0" w:after="0" w:line="240" w:lineRule="auto"/>
      </w:pPr>
      <w:r>
        <w:separator/>
      </w:r>
    </w:p>
  </w:footnote>
  <w:footnote w:type="continuationSeparator" w:id="0">
    <w:p w14:paraId="38428727" w14:textId="77777777" w:rsidR="000C470D" w:rsidRDefault="000C470D" w:rsidP="0089060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F82C0" w14:textId="40B154B2" w:rsidR="009D68B7" w:rsidRPr="002D1042" w:rsidRDefault="009D68B7" w:rsidP="002D1042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 xml:space="preserve">Federal Records Management – Level 1 – </w:t>
    </w:r>
    <w:r w:rsidR="0077556B">
      <w:rPr>
        <w:sz w:val="20"/>
      </w:rPr>
      <w:t>Disposition</w:t>
    </w:r>
    <w:r w:rsidR="000324E2">
      <w:rPr>
        <w:sz w:val="20"/>
      </w:rPr>
      <w:t xml:space="preserve"> – Module </w:t>
    </w:r>
    <w:r w:rsidR="0077556B">
      <w:rPr>
        <w:sz w:val="20"/>
      </w:rPr>
      <w:t>7</w:t>
    </w:r>
  </w:p>
  <w:p w14:paraId="7D97F47C" w14:textId="77777777" w:rsidR="009D68B7" w:rsidRPr="002D1042" w:rsidRDefault="009D68B7" w:rsidP="002D1042">
    <w:pPr>
      <w:pStyle w:val="Header"/>
      <w:spacing w:before="0" w:after="0" w:line="240" w:lineRule="auto"/>
      <w:jc w:val="right"/>
      <w:rPr>
        <w:sz w:val="20"/>
      </w:rPr>
    </w:pPr>
    <w:r w:rsidRPr="002D1042">
      <w:rPr>
        <w:sz w:val="20"/>
      </w:rPr>
      <w:t>National Archives and Records Administration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66141"/>
    <w:multiLevelType w:val="hybridMultilevel"/>
    <w:tmpl w:val="FB9E60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2A108A4"/>
    <w:multiLevelType w:val="hybridMultilevel"/>
    <w:tmpl w:val="56BAA5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EA9650C"/>
    <w:multiLevelType w:val="hybridMultilevel"/>
    <w:tmpl w:val="93B28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D54A3"/>
    <w:multiLevelType w:val="hybridMultilevel"/>
    <w:tmpl w:val="73A4D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62AF3"/>
    <w:multiLevelType w:val="hybridMultilevel"/>
    <w:tmpl w:val="ABA8ED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1056A6"/>
    <w:multiLevelType w:val="hybridMultilevel"/>
    <w:tmpl w:val="E7F8D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5F834D6"/>
    <w:multiLevelType w:val="hybridMultilevel"/>
    <w:tmpl w:val="84ECCF44"/>
    <w:lvl w:ilvl="0" w:tplc="BCE65B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46765"/>
    <w:multiLevelType w:val="hybridMultilevel"/>
    <w:tmpl w:val="A0CC4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3FAE2C9E"/>
    <w:multiLevelType w:val="hybridMultilevel"/>
    <w:tmpl w:val="93FE0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B327B6"/>
    <w:multiLevelType w:val="hybridMultilevel"/>
    <w:tmpl w:val="A4F49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2114BF5"/>
    <w:multiLevelType w:val="hybridMultilevel"/>
    <w:tmpl w:val="8DBC0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555226C"/>
    <w:multiLevelType w:val="hybridMultilevel"/>
    <w:tmpl w:val="98021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B54FEA"/>
    <w:multiLevelType w:val="hybridMultilevel"/>
    <w:tmpl w:val="8F7AB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 w15:restartNumberingAfterBreak="0">
    <w:nsid w:val="4AAC5F23"/>
    <w:multiLevelType w:val="hybridMultilevel"/>
    <w:tmpl w:val="2BB64D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4854251"/>
    <w:multiLevelType w:val="hybridMultilevel"/>
    <w:tmpl w:val="A4F490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5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6" w15:restartNumberingAfterBreak="0">
    <w:nsid w:val="618A3A82"/>
    <w:multiLevelType w:val="hybridMultilevel"/>
    <w:tmpl w:val="97949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7C65C9B"/>
    <w:multiLevelType w:val="hybridMultilevel"/>
    <w:tmpl w:val="D45A3A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F0E16"/>
    <w:multiLevelType w:val="hybridMultilevel"/>
    <w:tmpl w:val="27DC8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85E5C"/>
    <w:multiLevelType w:val="hybridMultilevel"/>
    <w:tmpl w:val="6144EE2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523B71"/>
    <w:multiLevelType w:val="hybridMultilevel"/>
    <w:tmpl w:val="1CF40E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CE200C"/>
    <w:multiLevelType w:val="hybridMultilevel"/>
    <w:tmpl w:val="9CFCEC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34"/>
  </w:num>
  <w:num w:numId="2">
    <w:abstractNumId w:val="14"/>
  </w:num>
  <w:num w:numId="3">
    <w:abstractNumId w:val="12"/>
  </w:num>
  <w:num w:numId="4">
    <w:abstractNumId w:val="40"/>
  </w:num>
  <w:num w:numId="5">
    <w:abstractNumId w:val="15"/>
  </w:num>
  <w:num w:numId="6">
    <w:abstractNumId w:val="24"/>
  </w:num>
  <w:num w:numId="7">
    <w:abstractNumId w:val="3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0"/>
  </w:num>
  <w:num w:numId="19">
    <w:abstractNumId w:val="21"/>
  </w:num>
  <w:num w:numId="20">
    <w:abstractNumId w:val="35"/>
  </w:num>
  <w:num w:numId="21">
    <w:abstractNumId w:val="28"/>
  </w:num>
  <w:num w:numId="22">
    <w:abstractNumId w:val="13"/>
  </w:num>
  <w:num w:numId="23">
    <w:abstractNumId w:val="43"/>
  </w:num>
  <w:num w:numId="24">
    <w:abstractNumId w:val="16"/>
  </w:num>
  <w:num w:numId="25">
    <w:abstractNumId w:val="30"/>
  </w:num>
  <w:num w:numId="26">
    <w:abstractNumId w:val="39"/>
  </w:num>
  <w:num w:numId="27">
    <w:abstractNumId w:val="37"/>
  </w:num>
  <w:num w:numId="28">
    <w:abstractNumId w:val="26"/>
  </w:num>
  <w:num w:numId="29">
    <w:abstractNumId w:val="10"/>
  </w:num>
  <w:num w:numId="30">
    <w:abstractNumId w:val="27"/>
  </w:num>
  <w:num w:numId="31">
    <w:abstractNumId w:val="42"/>
  </w:num>
  <w:num w:numId="32">
    <w:abstractNumId w:val="33"/>
  </w:num>
  <w:num w:numId="33">
    <w:abstractNumId w:val="18"/>
  </w:num>
  <w:num w:numId="34">
    <w:abstractNumId w:val="25"/>
  </w:num>
  <w:num w:numId="35">
    <w:abstractNumId w:val="38"/>
  </w:num>
  <w:num w:numId="36">
    <w:abstractNumId w:val="19"/>
  </w:num>
  <w:num w:numId="37">
    <w:abstractNumId w:val="11"/>
  </w:num>
  <w:num w:numId="38">
    <w:abstractNumId w:val="36"/>
  </w:num>
  <w:num w:numId="39">
    <w:abstractNumId w:val="32"/>
  </w:num>
  <w:num w:numId="40">
    <w:abstractNumId w:val="29"/>
  </w:num>
  <w:num w:numId="41">
    <w:abstractNumId w:val="41"/>
  </w:num>
  <w:num w:numId="42">
    <w:abstractNumId w:val="23"/>
  </w:num>
  <w:num w:numId="43">
    <w:abstractNumId w:val="22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2E6"/>
    <w:rsid w:val="000324E2"/>
    <w:rsid w:val="000376AB"/>
    <w:rsid w:val="00056843"/>
    <w:rsid w:val="000C470D"/>
    <w:rsid w:val="000E65FF"/>
    <w:rsid w:val="00120096"/>
    <w:rsid w:val="001209BB"/>
    <w:rsid w:val="00130E66"/>
    <w:rsid w:val="001715D0"/>
    <w:rsid w:val="001A2F6E"/>
    <w:rsid w:val="001D0082"/>
    <w:rsid w:val="001D3976"/>
    <w:rsid w:val="001D3EBA"/>
    <w:rsid w:val="001F1566"/>
    <w:rsid w:val="001F3B13"/>
    <w:rsid w:val="001F6663"/>
    <w:rsid w:val="00215D76"/>
    <w:rsid w:val="00225687"/>
    <w:rsid w:val="002447EE"/>
    <w:rsid w:val="0026573E"/>
    <w:rsid w:val="00271E88"/>
    <w:rsid w:val="00274F14"/>
    <w:rsid w:val="002761E8"/>
    <w:rsid w:val="0028432C"/>
    <w:rsid w:val="00295042"/>
    <w:rsid w:val="00296C38"/>
    <w:rsid w:val="002A28FF"/>
    <w:rsid w:val="002A5CAB"/>
    <w:rsid w:val="002C37BB"/>
    <w:rsid w:val="002D1042"/>
    <w:rsid w:val="002E7E68"/>
    <w:rsid w:val="00335AF7"/>
    <w:rsid w:val="00386014"/>
    <w:rsid w:val="00387DD4"/>
    <w:rsid w:val="003902E6"/>
    <w:rsid w:val="003C7865"/>
    <w:rsid w:val="003C7BFD"/>
    <w:rsid w:val="00427B67"/>
    <w:rsid w:val="00432AB9"/>
    <w:rsid w:val="00441FD7"/>
    <w:rsid w:val="0044675F"/>
    <w:rsid w:val="00453485"/>
    <w:rsid w:val="00491E0A"/>
    <w:rsid w:val="004E50DC"/>
    <w:rsid w:val="00502B88"/>
    <w:rsid w:val="00527187"/>
    <w:rsid w:val="0054315E"/>
    <w:rsid w:val="00546983"/>
    <w:rsid w:val="0055212A"/>
    <w:rsid w:val="00557882"/>
    <w:rsid w:val="00573084"/>
    <w:rsid w:val="00574DE9"/>
    <w:rsid w:val="00581F21"/>
    <w:rsid w:val="005C257E"/>
    <w:rsid w:val="005F4774"/>
    <w:rsid w:val="00606CDE"/>
    <w:rsid w:val="00621D3A"/>
    <w:rsid w:val="00625317"/>
    <w:rsid w:val="0063222C"/>
    <w:rsid w:val="00645252"/>
    <w:rsid w:val="00657ECB"/>
    <w:rsid w:val="00662D19"/>
    <w:rsid w:val="00672312"/>
    <w:rsid w:val="00681037"/>
    <w:rsid w:val="00697CC4"/>
    <w:rsid w:val="006B5069"/>
    <w:rsid w:val="006B7091"/>
    <w:rsid w:val="006B7713"/>
    <w:rsid w:val="006D1C30"/>
    <w:rsid w:val="006D3D74"/>
    <w:rsid w:val="006D557C"/>
    <w:rsid w:val="006F02E4"/>
    <w:rsid w:val="006F1850"/>
    <w:rsid w:val="007234B5"/>
    <w:rsid w:val="00730F13"/>
    <w:rsid w:val="007410EA"/>
    <w:rsid w:val="0077556B"/>
    <w:rsid w:val="007B0FD6"/>
    <w:rsid w:val="007B76D4"/>
    <w:rsid w:val="007C58C0"/>
    <w:rsid w:val="007E0146"/>
    <w:rsid w:val="008234BD"/>
    <w:rsid w:val="008257AD"/>
    <w:rsid w:val="00826DE6"/>
    <w:rsid w:val="008303F0"/>
    <w:rsid w:val="00881401"/>
    <w:rsid w:val="00883083"/>
    <w:rsid w:val="00890601"/>
    <w:rsid w:val="0089370C"/>
    <w:rsid w:val="008A3C39"/>
    <w:rsid w:val="008B0B15"/>
    <w:rsid w:val="008B702B"/>
    <w:rsid w:val="008C744F"/>
    <w:rsid w:val="009300AF"/>
    <w:rsid w:val="0097350B"/>
    <w:rsid w:val="00994BF7"/>
    <w:rsid w:val="009A360B"/>
    <w:rsid w:val="009C049F"/>
    <w:rsid w:val="009D68B7"/>
    <w:rsid w:val="009E59F4"/>
    <w:rsid w:val="009F7AF3"/>
    <w:rsid w:val="00A24357"/>
    <w:rsid w:val="00A433EE"/>
    <w:rsid w:val="00A509F2"/>
    <w:rsid w:val="00A677F7"/>
    <w:rsid w:val="00A9204E"/>
    <w:rsid w:val="00AB0499"/>
    <w:rsid w:val="00AD3820"/>
    <w:rsid w:val="00AE4D50"/>
    <w:rsid w:val="00AE6E05"/>
    <w:rsid w:val="00B4330A"/>
    <w:rsid w:val="00B765DD"/>
    <w:rsid w:val="00B81448"/>
    <w:rsid w:val="00BA0C15"/>
    <w:rsid w:val="00BA113A"/>
    <w:rsid w:val="00BA167C"/>
    <w:rsid w:val="00BA5F94"/>
    <w:rsid w:val="00BA6B54"/>
    <w:rsid w:val="00BC2526"/>
    <w:rsid w:val="00BD3D73"/>
    <w:rsid w:val="00C231CD"/>
    <w:rsid w:val="00C44502"/>
    <w:rsid w:val="00C5066F"/>
    <w:rsid w:val="00C57BC0"/>
    <w:rsid w:val="00C66785"/>
    <w:rsid w:val="00C84982"/>
    <w:rsid w:val="00CB3057"/>
    <w:rsid w:val="00CB46B4"/>
    <w:rsid w:val="00D1023C"/>
    <w:rsid w:val="00D157F0"/>
    <w:rsid w:val="00D22B54"/>
    <w:rsid w:val="00D32061"/>
    <w:rsid w:val="00D44FDB"/>
    <w:rsid w:val="00D5175F"/>
    <w:rsid w:val="00D54AD6"/>
    <w:rsid w:val="00D66D2B"/>
    <w:rsid w:val="00D819CA"/>
    <w:rsid w:val="00D85CE0"/>
    <w:rsid w:val="00D873FB"/>
    <w:rsid w:val="00D8795D"/>
    <w:rsid w:val="00DC37FD"/>
    <w:rsid w:val="00DE5703"/>
    <w:rsid w:val="00E230D1"/>
    <w:rsid w:val="00E23DDF"/>
    <w:rsid w:val="00E63689"/>
    <w:rsid w:val="00E67B87"/>
    <w:rsid w:val="00E8088A"/>
    <w:rsid w:val="00E90E07"/>
    <w:rsid w:val="00E96CE7"/>
    <w:rsid w:val="00EC71F8"/>
    <w:rsid w:val="00F10027"/>
    <w:rsid w:val="00F311C4"/>
    <w:rsid w:val="00F31A31"/>
    <w:rsid w:val="00F9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B2CC21"/>
  <w15:chartTrackingRefBased/>
  <w15:docId w15:val="{CEFB9E43-D20D-4420-8B73-360592E99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2E6"/>
    <w:rPr>
      <w:rFonts w:ascii="Lucida Sans" w:hAnsi="Lucida Sans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02E6"/>
    <w:pPr>
      <w:pBdr>
        <w:top w:val="single" w:sz="24" w:space="0" w:color="052F61" w:themeColor="accent1"/>
        <w:left w:val="single" w:sz="24" w:space="0" w:color="052F61" w:themeColor="accent1"/>
        <w:bottom w:val="single" w:sz="24" w:space="0" w:color="052F61" w:themeColor="accent1"/>
        <w:right w:val="single" w:sz="24" w:space="0" w:color="052F61" w:themeColor="accent1"/>
      </w:pBdr>
      <w:shd w:val="clear" w:color="auto" w:fill="052F61" w:themeFill="accent1"/>
      <w:spacing w:after="0"/>
      <w:outlineLvl w:val="0"/>
    </w:pPr>
    <w:rPr>
      <w:b/>
      <w:color w:val="FFFFFF" w:themeColor="background1"/>
      <w:spacing w:val="15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02E6"/>
    <w:pPr>
      <w:pBdr>
        <w:top w:val="single" w:sz="24" w:space="0" w:color="B1D2FB" w:themeColor="accent1" w:themeTint="33"/>
        <w:left w:val="single" w:sz="24" w:space="0" w:color="B1D2FB" w:themeColor="accent1" w:themeTint="33"/>
        <w:bottom w:val="single" w:sz="24" w:space="0" w:color="B1D2FB" w:themeColor="accent1" w:themeTint="33"/>
        <w:right w:val="single" w:sz="24" w:space="0" w:color="B1D2FB" w:themeColor="accent1" w:themeTint="33"/>
      </w:pBdr>
      <w:shd w:val="clear" w:color="auto" w:fill="B1D2FB" w:themeFill="accent1" w:themeFillTint="33"/>
      <w:spacing w:after="0"/>
      <w:outlineLvl w:val="1"/>
    </w:pPr>
    <w:rPr>
      <w:b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02E6"/>
    <w:pPr>
      <w:pBdr>
        <w:top w:val="single" w:sz="6" w:space="2" w:color="052F61" w:themeColor="accent1"/>
      </w:pBdr>
      <w:spacing w:before="300" w:after="0"/>
      <w:outlineLvl w:val="2"/>
    </w:pPr>
    <w:rPr>
      <w:b/>
      <w:color w:val="021730" w:themeColor="accent1" w:themeShade="7F"/>
      <w:spacing w:val="15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902E6"/>
    <w:pPr>
      <w:pBdr>
        <w:top w:val="dotted" w:sz="6" w:space="2" w:color="052F61" w:themeColor="accent1"/>
      </w:pBdr>
      <w:spacing w:before="200" w:after="0"/>
      <w:outlineLvl w:val="3"/>
    </w:pPr>
    <w:rPr>
      <w:caps/>
      <w:color w:val="032348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902E6"/>
    <w:pPr>
      <w:pBdr>
        <w:bottom w:val="single" w:sz="6" w:space="1" w:color="052F61" w:themeColor="accent1"/>
      </w:pBdr>
      <w:spacing w:before="200" w:after="0"/>
      <w:outlineLvl w:val="4"/>
    </w:pPr>
    <w:rPr>
      <w:caps/>
      <w:color w:val="032348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902E6"/>
    <w:pPr>
      <w:pBdr>
        <w:bottom w:val="dotted" w:sz="6" w:space="1" w:color="052F61" w:themeColor="accent1"/>
      </w:pBdr>
      <w:spacing w:before="200" w:after="0"/>
      <w:outlineLvl w:val="5"/>
    </w:pPr>
    <w:rPr>
      <w:caps/>
      <w:color w:val="032348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902E6"/>
    <w:pPr>
      <w:spacing w:before="200" w:after="0"/>
      <w:outlineLvl w:val="6"/>
    </w:pPr>
    <w:rPr>
      <w:caps/>
      <w:color w:val="032348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902E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902E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02E6"/>
    <w:rPr>
      <w:b/>
      <w:color w:val="FFFFFF" w:themeColor="background1"/>
      <w:spacing w:val="15"/>
      <w:sz w:val="28"/>
      <w:szCs w:val="22"/>
      <w:shd w:val="clear" w:color="auto" w:fill="052F61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3902E6"/>
    <w:rPr>
      <w:rFonts w:ascii="Lucida Sans" w:hAnsi="Lucida Sans"/>
      <w:b/>
      <w:spacing w:val="15"/>
      <w:sz w:val="24"/>
      <w:shd w:val="clear" w:color="auto" w:fill="B1D2FB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3902E6"/>
    <w:rPr>
      <w:b/>
      <w:color w:val="021730" w:themeColor="accent1" w:themeShade="7F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rsid w:val="003902E6"/>
    <w:rPr>
      <w:caps/>
      <w:color w:val="032348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3902E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rsid w:val="003902E6"/>
    <w:rPr>
      <w:i/>
      <w:iCs/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902E6"/>
    <w:pPr>
      <w:spacing w:before="0" w:after="0"/>
    </w:pPr>
    <w:rPr>
      <w:rFonts w:eastAsiaTheme="majorEastAsia" w:cs="Lucida Sans"/>
      <w:b/>
      <w:color w:val="052F61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902E6"/>
    <w:rPr>
      <w:rFonts w:ascii="Lucida Sans" w:eastAsiaTheme="majorEastAsia" w:hAnsi="Lucida Sans" w:cs="Lucida Sans"/>
      <w:b/>
      <w:color w:val="052F61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02E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3902E6"/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uiPriority w:val="19"/>
    <w:qFormat/>
    <w:rsid w:val="003902E6"/>
    <w:rPr>
      <w:i/>
      <w:iCs/>
      <w:color w:val="021730" w:themeColor="accent1" w:themeShade="7F"/>
    </w:rPr>
  </w:style>
  <w:style w:type="character" w:styleId="Emphasis">
    <w:name w:val="Emphasis"/>
    <w:uiPriority w:val="20"/>
    <w:qFormat/>
    <w:rsid w:val="003902E6"/>
    <w:rPr>
      <w:caps/>
      <w:color w:val="021730" w:themeColor="accent1" w:themeShade="7F"/>
      <w:spacing w:val="5"/>
    </w:rPr>
  </w:style>
  <w:style w:type="character" w:styleId="IntenseEmphasis">
    <w:name w:val="Intense Emphasis"/>
    <w:uiPriority w:val="21"/>
    <w:qFormat/>
    <w:rsid w:val="003902E6"/>
    <w:rPr>
      <w:b/>
      <w:bCs/>
      <w:caps/>
      <w:color w:val="021730" w:themeColor="accent1" w:themeShade="7F"/>
      <w:spacing w:val="10"/>
    </w:rPr>
  </w:style>
  <w:style w:type="character" w:styleId="Strong">
    <w:name w:val="Strong"/>
    <w:uiPriority w:val="22"/>
    <w:qFormat/>
    <w:rsid w:val="003902E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3902E6"/>
    <w:rPr>
      <w:i/>
      <w:iCs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902E6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02E6"/>
    <w:pPr>
      <w:spacing w:before="240" w:after="240" w:line="240" w:lineRule="auto"/>
      <w:ind w:left="1080" w:right="1080"/>
      <w:jc w:val="center"/>
    </w:pPr>
    <w:rPr>
      <w:color w:val="052F61" w:themeColor="accent1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02E6"/>
    <w:rPr>
      <w:color w:val="052F61" w:themeColor="accent1"/>
      <w:sz w:val="24"/>
      <w:szCs w:val="24"/>
    </w:rPr>
  </w:style>
  <w:style w:type="character" w:styleId="SubtleReference">
    <w:name w:val="Subtle Reference"/>
    <w:uiPriority w:val="31"/>
    <w:qFormat/>
    <w:rsid w:val="003902E6"/>
    <w:rPr>
      <w:b/>
      <w:bCs/>
      <w:color w:val="052F61" w:themeColor="accent1"/>
    </w:rPr>
  </w:style>
  <w:style w:type="character" w:styleId="IntenseReference">
    <w:name w:val="Intense Reference"/>
    <w:uiPriority w:val="32"/>
    <w:qFormat/>
    <w:rsid w:val="003902E6"/>
    <w:rPr>
      <w:b/>
      <w:bCs/>
      <w:i/>
      <w:iCs/>
      <w:caps/>
      <w:color w:val="052F61" w:themeColor="accent1"/>
    </w:rPr>
  </w:style>
  <w:style w:type="character" w:styleId="BookTitle">
    <w:name w:val="Book Title"/>
    <w:uiPriority w:val="33"/>
    <w:qFormat/>
    <w:rsid w:val="003902E6"/>
    <w:rPr>
      <w:b/>
      <w:bCs/>
      <w:i/>
      <w:iCs/>
      <w:spacing w:val="0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021730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356A95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902E6"/>
    <w:rPr>
      <w:b/>
      <w:bCs/>
      <w:color w:val="032348" w:themeColor="accent1" w:themeShade="BF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052F61" w:themeColor="accent1" w:shadow="1" w:frame="1"/>
        <w:left w:val="single" w:sz="2" w:space="10" w:color="052F61" w:themeColor="accent1" w:shadow="1" w:frame="1"/>
        <w:bottom w:val="single" w:sz="2" w:space="10" w:color="052F61" w:themeColor="accent1" w:shadow="1" w:frame="1"/>
        <w:right w:val="single" w:sz="2" w:space="10" w:color="052F61" w:themeColor="accent1" w:shadow="1" w:frame="1"/>
      </w:pBdr>
      <w:ind w:left="1152" w:right="1152"/>
    </w:pPr>
    <w:rPr>
      <w:i/>
      <w:iCs/>
      <w:color w:val="021730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064453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NoSpacing">
    <w:name w:val="No Spacing"/>
    <w:uiPriority w:val="1"/>
    <w:qFormat/>
    <w:rsid w:val="003902E6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3902E6"/>
    <w:pPr>
      <w:outlineLvl w:val="9"/>
    </w:pPr>
  </w:style>
  <w:style w:type="paragraph" w:styleId="ListParagraph">
    <w:name w:val="List Paragraph"/>
    <w:basedOn w:val="Normal"/>
    <w:uiPriority w:val="34"/>
    <w:qFormat/>
    <w:rsid w:val="00527187"/>
    <w:pPr>
      <w:ind w:left="720"/>
      <w:contextualSpacing/>
    </w:pPr>
  </w:style>
  <w:style w:type="table" w:styleId="TableGrid">
    <w:name w:val="Table Grid"/>
    <w:basedOn w:val="TableNormal"/>
    <w:uiPriority w:val="39"/>
    <w:rsid w:val="00AB0499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4E50D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E50D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4E50DC"/>
    <w:pPr>
      <w:spacing w:after="100"/>
      <w:ind w:left="480"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57A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2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76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40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Riat.WIN\AppData\Roaming\Microsoft\Templates\Single%20spaced%20(blank).dotx" TargetMode="External"/></Relationships>
</file>

<file path=word/theme/theme1.xml><?xml version="1.0" encoding="utf-8"?>
<a:theme xmlns:a="http://schemas.openxmlformats.org/drawingml/2006/main" name="NARACurriculum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4.xml><?xml version="1.0" encoding="utf-8"?>
<ds:datastoreItem xmlns:ds="http://schemas.openxmlformats.org/officeDocument/2006/customXml" ds:itemID="{2AB1844F-D678-4510-8509-0AB8183A1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25</TotalTime>
  <Pages>6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Federal Records Management Level 1: Creation and Receipt - Participant Guide</vt:lpstr>
    </vt:vector>
  </TitlesOfParts>
  <Company>U.S. National Archives and Records Administration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Federal Records Management Level 1: Creation and Receipt - Participant Guide</dc:title>
  <dc:subject/>
  <dc:creator>RRiat</dc:creator>
  <cp:keywords/>
  <dc:description/>
  <cp:lastModifiedBy>Robin</cp:lastModifiedBy>
  <cp:revision>5</cp:revision>
  <cp:lastPrinted>2017-09-22T13:35:00Z</cp:lastPrinted>
  <dcterms:created xsi:type="dcterms:W3CDTF">2019-08-09T14:49:00Z</dcterms:created>
  <dcterms:modified xsi:type="dcterms:W3CDTF">2019-12-30T16:52:00Z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  <property fmtid="{D5CDD505-2E9C-101B-9397-08002B2CF9AE}" pid="8" name="Subjects">
    <vt:lpwstr>Creation and Receipt</vt:lpwstr>
  </property>
</Properties>
</file>